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9.png" ContentType="image/png"/>
  <Override PartName="/word/media/rId21.png" ContentType="image/png"/>
  <Override PartName="/word/media/rId25.png" ContentType="image/png"/>
  <Override PartName="/word/media/rId33.png" ContentType="image/png"/>
  <Override PartName="/word/media/rId45.png" ContentType="image/png"/>
  <Override PartName="/word/media/rId49.png" ContentType="image/png"/>
  <Override PartName="/word/media/rId53.png" ContentType="image/png"/>
  <Override PartName="/word/media/rId4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76" w:name="supplementary-material"/>
    <w:p>
      <w:pPr>
        <w:pStyle w:val="Heading1"/>
      </w:pPr>
      <w:r>
        <w:t xml:space="preserve">Supplementary material</w:t>
      </w:r>
    </w:p>
    <w:p>
      <w:pPr>
        <w:pStyle w:val="CaptionedFigure"/>
      </w:pPr>
      <w:r>
        <w:drawing>
          <wp:inline>
            <wp:extent cx="5943600" cy="7641771"/>
            <wp:effectExtent b="0" l="0" r="0" t="0"/>
            <wp:docPr descr="Figure 1: Example of representative growth curves (tracked as OD68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 Example of representative growth curves (tracked as OD</w:t>
      </w:r>
      <w:r>
        <w:rPr>
          <w:vertAlign w:val="subscript"/>
        </w:rPr>
        <w:t xml:space="preserve">680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Example of representative growth curves (tracked as OD720)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 Example of representative growth curves (tracked as OD</w:t>
      </w:r>
      <w:r>
        <w:rPr>
          <w:vertAlign w:val="subscript"/>
        </w:rPr>
        <w:t xml:space="preserve">720</w:t>
      </w:r>
      <w:r>
        <w:t xml:space="preserve">)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Example of representative growth curves (tracked as Delta OD) of two PhycoCyanin(PC)-rich cultures (light green line; 056, dark green line; 077) and two PhycoErythrin(PE)-rich cultures (light red line; 048, dark red line; 127) (Culture Collection of Baltic Algae) of Synechococcus sp. grown at 30, 90, 180, 300, or 900 peak PAR µmol photons m−2s−1;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 Example of representative growth curves (tracked as Delta OD) of two PhycoCyanin(PC)-rich cultures (light green line; 056, dark green line; 077) and two PhycoErythrin(PE)-rich cultures (light red line; 048, dark red line;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4: Chlorophyll specific exponential growth rates, estimated from logistic fits of chlorophyll proxy OD680-OD720 vs. elapsed time, for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Growth rates (+/- SE from logistic model; SE falls within symbol sizes) are plotted vs. cumulative diel µmol photons m−2d−1. Solid blue line shows fit of the pooled data with a three parameter model (Harrison and Platt, 1986). We also fit the same model for chlorophyll specific exponential growth rate across 30 (dark gray), 90 (light gray), 180 (purple), 300 (red), 600 together with 900 (orange) peak PAR µmol photons m−2s−1, only when they were significantly different (ANOVA, p &lt; 0.05) from the fit of pooled data." title="" id="34" name="Picture"/>
            <a:graphic>
              <a:graphicData uri="http://schemas.openxmlformats.org/drawingml/2006/picture">
                <pic:pic>
                  <pic:nvPicPr>
                    <pic:cNvPr descr="../Output/Figures/SFig_GrowthRate_Ligh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RateLight"/>
      <w:bookmarkEnd w:id="36"/>
      <w:r>
        <w:t xml:space="preserve">Figure 4: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the same model for chlorophyll specific exponential growth rate across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Hours of photoperiod to reach maximum hourly growth increment (AccLen), for two PhycoCyanin(PC)-rich cultures (056, 077) and two PhycoErythrin(PE)-rich cultures (048, 127) (Culture Collection of Baltic Algae) of Synechococcus sp. grown at 30 (dark gray), 90 (light gray), 180 (purple), 300 (red), or 900 (yellow) peak PAR µmol photons m−2s−1; and photoperiods of 8 (square), 12 (circle), or 16 (triangle) h. The diagonal dashed lines indicate the time (h) to reach the maximum light during the day. Figure represents all data (small symbols) and means (big symbols) for n = 0-5 days from exponential phase, or from pre-stationary growth phase." title="" id="38" name="Picture"/>
            <a:graphic>
              <a:graphicData uri="http://schemas.openxmlformats.org/drawingml/2006/picture">
                <pic:pic>
                  <pic:nvPicPr>
                    <pic:cNvPr descr="../Output/Figures/SFig_AccLen.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AccLen"/>
      <w:bookmarkEnd w:id="40"/>
      <w:r>
        <w:t xml:space="preserve">Figure 5: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and photoperiods of 8 (square), 12 (circle), or 16 (triangle) h. The diagonal dashed lines indicate the time (h) to reach the maximum light during the day. Figure represents all data (small symbols) and means (big symbols) for n = 0-5 days from exponential phase, or from pre-stationary growth phase.</w:t>
      </w:r>
    </w:p>
    <w:p>
      <w:pPr>
        <w:pStyle w:val="CaptionedFigure"/>
      </w:pPr>
      <w:r>
        <w:drawing>
          <wp:inline>
            <wp:extent cx="5943600" cy="7641771"/>
            <wp:effectExtent b="0" l="0" r="0" t="0"/>
            <wp:docPr descr="Figure 6: Changes of TDG (tracked as daily change in OD680 increment) of two PhycoCyanin(PC)-rich cultures (056, 077) and two PhycoErythrin(PE)-rich cultures (048, 127) (Culture Collection of Baltic Algae) of Synechococcus sp. grown at 30, 90, 180, 300, or 900 peak PAR µmol photons m−2s−1; and photoperiods of 8, 12, or 16 h. The vertical lines represent the time when the strains reached their maximum absolute hourly growth (tMaxAG)." title="" id="42" name="Picture"/>
            <a:graphic>
              <a:graphicData uri="http://schemas.openxmlformats.org/drawingml/2006/picture">
                <pic:pic>
                  <pic:nvPicPr>
                    <pic:cNvPr descr="../Output/Figures/SFig_TDG.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TDG"/>
      <w:bookmarkEnd w:id="44"/>
      <w:r>
        <w:t xml:space="preserve">Figure 6: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p>
      <w:pPr>
        <w:pStyle w:val="CaptionedFigure"/>
      </w:pPr>
      <w:r>
        <w:drawing>
          <wp:inline>
            <wp:extent cx="5943600" cy="7641771"/>
            <wp:effectExtent b="0" l="0" r="0" t="0"/>
            <wp:docPr descr="Figure 7: Changes of total Phyco/Chl a ratio of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46" name="Picture"/>
            <a:graphic>
              <a:graphicData uri="http://schemas.openxmlformats.org/drawingml/2006/picture">
                <pic:pic>
                  <pic:nvPicPr>
                    <pic:cNvPr descr="../Output/Figures/SFig_PhycoChlaRatio.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PhycoChlaRatio"/>
      <w:bookmarkEnd w:id="48"/>
      <w:r>
        <w:t xml:space="preserve">Figure 7: Changes of total Phyco/Chl</w:t>
      </w:r>
      <w:r>
        <w:t xml:space="preserve"> </w:t>
      </w:r>
      <w:r>
        <w:rPr>
          <w:iCs/>
          <w:i/>
        </w:rPr>
        <w:t xml:space="preserve">a</w:t>
      </w:r>
      <w:r>
        <w:t xml:space="preserve"> </w:t>
      </w:r>
      <w:r>
        <w:t xml:space="preserve">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8: Effective absorption cross section of PSII (σPSII’; nm2 quanta-1) measured under diel peak PAR growth light under Ex445 nm (blue) excitation in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linear model fit." title="" id="50" name="Picture"/>
            <a:graphic>
              <a:graphicData uri="http://schemas.openxmlformats.org/drawingml/2006/picture">
                <pic:pic>
                  <pic:nvPicPr>
                    <pic:cNvPr descr="../Output/Figures/SFig_Sigma445.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Sigma445"/>
      <w:bookmarkEnd w:id="52"/>
      <w:r>
        <w:t xml:space="preserve">Figure 8: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linear model fit.</w:t>
      </w:r>
    </w:p>
    <w:p>
      <w:pPr>
        <w:pStyle w:val="CaptionedFigure"/>
      </w:pPr>
      <w:r>
        <w:drawing>
          <wp:inline>
            <wp:extent cx="5943600" cy="7641771"/>
            <wp:effectExtent b="0" l="0" r="0" t="0"/>
            <wp:docPr descr="Figure 9: Changes of effective absorption cross section of PSII (σPSII’; nm2 quanta-1) measured under diel peak PAR growth light under Ex445 nm (blue) excitation in relation to the total Phyco/Chl a ratio of two PhycoCyanin(PC)-rich cultures (Culture Collection of Baltic Algae; 056, 077) and two PhycoErythrin(PE)-rich cultures (Culture Collection of Baltic Algae; 048, 127)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linear model fit." title="" id="54" name="Picture"/>
            <a:graphic>
              <a:graphicData uri="http://schemas.openxmlformats.org/drawingml/2006/picture">
                <pic:pic>
                  <pic:nvPicPr>
                    <pic:cNvPr descr="../Output/Figures/SFig_SigmaPig445.png" id="55" name="Picture"/>
                    <pic:cNvPicPr>
                      <a:picLocks noChangeArrowheads="1" noChangeAspect="1"/>
                    </pic:cNvPicPr>
                  </pic:nvPicPr>
                  <pic:blipFill>
                    <a:blip r:embed="rId5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6" w:name="fig:SigmaPig445"/>
      <w:bookmarkEnd w:id="56"/>
      <w:r>
        <w:t xml:space="preserve">Figure 9: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linear model fit.</w:t>
      </w:r>
    </w:p>
    <w:p>
      <w:pPr>
        <w:pStyle w:val="TableCaption"/>
      </w:pPr>
      <w:bookmarkStart w:id="57" w:name="tab:unnamed-chunk-1"/>
      <w:bookmarkEnd w:id="57"/>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8" w:name="tab:unnamed-chunk-2"/>
      <w:bookmarkEnd w:id="58"/>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9" w:name="tab:unnamed-chunk-3"/>
      <w:bookmarkEnd w:id="59"/>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0" w:name="tab:unnamed-chunk-4"/>
      <w:bookmarkEnd w:id="60"/>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1" w:name="tab:unnamed-chunk-5"/>
      <w:bookmarkEnd w:id="61"/>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62" w:name="tab:unnamed-chunk-6"/>
      <w:bookmarkEnd w:id="62"/>
      <w:r>
        <w:t xml:space="preserve">Table 6:</w:t>
      </w:r>
      <w:r>
        <w:t xml:space="preserve"> </w:t>
      </w:r>
      <w:r>
        <w:t xml:space="preserve">Three-way factorial ANOVA of index of diel growth symmetry; AccLen/DecLen ratio (Source_of_variation), for two PhycoCyanin(PC)-rich cultures (056, 077) and two PhycoErythrin(PE)-rich cultures (048, 127) (Culture Collection of Baltic Algae) of Synechococcus sp., grown at 30, 90, 180, 300, or 900 peak PAR µmol photons m−2s−1; and photoperiods of 8, 12, or 16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3" w:name="tab:unnamed-chunk-7"/>
      <w:bookmarkEnd w:id="63"/>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index of diel growth symmetry; AccLen/DecLen ratio,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4" w:name="tab:unnamed-chunk-8"/>
      <w:bookmarkEnd w:id="64"/>
      <w:r>
        <w:t xml:space="preserve">Table 8:</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5" w:name="tab:unnamed-chunk-9"/>
      <w:bookmarkEnd w:id="65"/>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66" w:name="tab:unnamed-chunk-10"/>
      <w:bookmarkEnd w:id="66"/>
      <w:r>
        <w:t xml:space="preserve">Table 10:</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7" w:name="tab:unnamed-chunk-11"/>
      <w:bookmarkEnd w:id="67"/>
      <w:r>
        <w:t xml:space="preserve">Table 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8" w:name="tab:unnamed-chunk-12"/>
      <w:bookmarkEnd w:id="68"/>
      <w:r>
        <w:t xml:space="preserve">Table 12:</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9" w:name="tab:unnamed-chunk-13"/>
      <w:bookmarkEnd w:id="69"/>
      <w:r>
        <w:t xml:space="preserve">Table 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0" w:name="tab:unnamed-chunk-14"/>
      <w:bookmarkEnd w:id="70"/>
      <w:r>
        <w:t xml:space="preserve">Table 14:</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1" w:name="tab:unnamed-chunk-15"/>
      <w:bookmarkEnd w:id="71"/>
      <w:r>
        <w:t xml:space="preserve">Table 15: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72" w:name="tab:unnamed-chunk-16"/>
      <w:bookmarkEnd w:id="72"/>
      <w:r>
        <w:t xml:space="preserve">Table 16:</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1.340e+03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61.512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3" w:name="tab:unnamed-chunk-17"/>
      <w:bookmarkEnd w:id="73"/>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0.711</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0.774</w:t>
            </w:r>
          </w:p>
        </w:tc>
      </w:tr>
    </w:tbl>
    <w:p>
      <w:pPr>
        <w:pStyle w:val="TableCaption"/>
      </w:pPr>
      <w:bookmarkStart w:id="74" w:name="tab:unnamed-chunk-18"/>
      <w:bookmarkEnd w:id="74"/>
      <w:r>
        <w:t xml:space="preserve">Table 18:</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1.257e+03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5.161e+02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716.953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3,132.964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5" w:name="tab:unnamed-chunk-19"/>
      <w:bookmarkEnd w:id="75"/>
      <w:r>
        <w:t xml:space="preserve">Table 19: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0.495</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0.487</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0.418</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0.262</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r>
    </w:tbl>
    <w:bookmarkEnd w:id="7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1" Target="media/rId41.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2024-02-05T23:15:41Z</dcterms:created>
  <dcterms:modified xsi:type="dcterms:W3CDTF">2024-02-05T23:15:41Z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